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42136" w:rsidTr="005B5950">
        <w:trPr>
          <w:trHeight w:val="142"/>
        </w:trPr>
        <w:tc>
          <w:tcPr>
            <w:tcW w:w="9889" w:type="dxa"/>
            <w:hideMark/>
          </w:tcPr>
          <w:tbl>
            <w:tblPr>
              <w:tblStyle w:val="a5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942136" w:rsidTr="005B5950">
              <w:tc>
                <w:tcPr>
                  <w:tcW w:w="4644" w:type="dxa"/>
                </w:tcPr>
                <w:p w:rsidR="00942136" w:rsidRPr="009B5DE2" w:rsidRDefault="00942136" w:rsidP="005B5950">
                  <w:pPr>
                    <w:tabs>
                      <w:tab w:val="left" w:pos="6472"/>
                    </w:tabs>
                    <w:jc w:val="center"/>
                    <w:rPr>
                      <w:szCs w:val="20"/>
                    </w:rPr>
                  </w:pPr>
                  <w:r w:rsidRPr="009B5DE2">
                    <w:rPr>
                      <w:noProof/>
                      <w:szCs w:val="20"/>
                    </w:rPr>
                    <w:drawing>
                      <wp:inline distT="0" distB="0" distL="0" distR="0" wp14:anchorId="21CFFA36" wp14:editId="42BEBE23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sz w:val="20"/>
                      <w:szCs w:val="20"/>
                    </w:rPr>
                    <w:t>И БЛАГОПОЛУЧИЯ  ЧЕЛОВЕКА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районах»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ул. Советская, 13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>7-59-43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4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ind w:left="-142" w:right="-108"/>
                    <w:jc w:val="center"/>
                    <w:rPr>
                      <w:sz w:val="18"/>
                      <w:szCs w:val="18"/>
                    </w:rPr>
                  </w:pPr>
                  <w:r w:rsidRPr="009B5DE2">
                    <w:rPr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separate"/>
                  </w:r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4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4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4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942136" w:rsidRPr="0096473F" w:rsidRDefault="00942136" w:rsidP="002F0424">
                  <w:pPr>
                    <w:ind w:left="-142" w:right="-108"/>
                    <w:jc w:val="center"/>
                    <w:rPr>
                      <w:sz w:val="28"/>
                      <w:szCs w:val="28"/>
                    </w:rPr>
                  </w:pPr>
                  <w:r w:rsidRPr="0096473F">
                    <w:rPr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sz w:val="20"/>
                      <w:szCs w:val="20"/>
                    </w:rPr>
                    <w:t>от</w:t>
                  </w:r>
                  <w:r w:rsidRPr="0096473F">
                    <w:rPr>
                      <w:sz w:val="20"/>
                      <w:szCs w:val="20"/>
                    </w:rPr>
                    <w:t xml:space="preserve"> </w:t>
                  </w:r>
                  <w:r w:rsidR="002F0424">
                    <w:rPr>
                      <w:sz w:val="20"/>
                      <w:szCs w:val="20"/>
                    </w:rPr>
                    <w:t>06</w:t>
                  </w:r>
                  <w:r w:rsidRPr="0096473F">
                    <w:rPr>
                      <w:sz w:val="20"/>
                      <w:szCs w:val="20"/>
                    </w:rPr>
                    <w:t>.</w:t>
                  </w:r>
                  <w:r w:rsidR="002F0424">
                    <w:rPr>
                      <w:sz w:val="20"/>
                      <w:szCs w:val="20"/>
                    </w:rPr>
                    <w:t>12</w:t>
                  </w:r>
                  <w:r w:rsidRPr="0096473F">
                    <w:rPr>
                      <w:sz w:val="20"/>
                      <w:szCs w:val="20"/>
                    </w:rPr>
                    <w:t>.202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942136" w:rsidRPr="0096473F" w:rsidRDefault="00942136" w:rsidP="005B595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>Главн</w:t>
                  </w:r>
                  <w:r>
                    <w:rPr>
                      <w:sz w:val="20"/>
                      <w:szCs w:val="20"/>
                    </w:rPr>
                    <w:t>ый</w:t>
                  </w:r>
                  <w:r w:rsidRPr="00700926">
                    <w:rPr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 xml:space="preserve">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>»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6"/>
                      <w:szCs w:val="26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942136" w:rsidRDefault="00942136" w:rsidP="005B5950">
            <w:pPr>
              <w:jc w:val="right"/>
            </w:pPr>
          </w:p>
        </w:tc>
      </w:tr>
    </w:tbl>
    <w:p w:rsidR="002F0424" w:rsidRPr="002F0424" w:rsidRDefault="002F0424" w:rsidP="002F0424">
      <w:pPr>
        <w:shd w:val="clear" w:color="auto" w:fill="FFFFFF"/>
        <w:ind w:firstLine="708"/>
        <w:jc w:val="center"/>
        <w:rPr>
          <w:rFonts w:ascii="Verdana" w:hAnsi="Verdana"/>
          <w:color w:val="4F4F4F"/>
        </w:rPr>
      </w:pPr>
      <w:r w:rsidRPr="002F0424">
        <w:rPr>
          <w:b/>
          <w:bCs/>
          <w:color w:val="000000"/>
        </w:rPr>
        <w:t>Навязывание услуги страхования банком потребителю при заключении кредитного договора</w:t>
      </w:r>
    </w:p>
    <w:p w:rsidR="002F0424" w:rsidRPr="002F0424" w:rsidRDefault="002F0424" w:rsidP="002F0424">
      <w:pPr>
        <w:shd w:val="clear" w:color="auto" w:fill="FFFFFF"/>
        <w:ind w:firstLine="540"/>
        <w:jc w:val="both"/>
        <w:rPr>
          <w:rFonts w:ascii="Verdana" w:hAnsi="Verdana"/>
          <w:sz w:val="22"/>
          <w:szCs w:val="22"/>
        </w:rPr>
      </w:pPr>
      <w:bookmarkStart w:id="0" w:name="_GoBack"/>
      <w:r w:rsidRPr="002F0424">
        <w:rPr>
          <w:sz w:val="22"/>
          <w:szCs w:val="22"/>
        </w:rPr>
        <w:t xml:space="preserve">В соответствии с </w:t>
      </w:r>
      <w:r w:rsidRPr="001E3643">
        <w:rPr>
          <w:sz w:val="22"/>
          <w:szCs w:val="22"/>
        </w:rPr>
        <w:t xml:space="preserve">пп.5 </w:t>
      </w:r>
      <w:r w:rsidRPr="002F0424">
        <w:rPr>
          <w:sz w:val="22"/>
          <w:szCs w:val="22"/>
        </w:rPr>
        <w:t>п.2 ст.16 Закона РФ от 07.02.1992 № 2300-1 «О защите прав потребителей»,</w:t>
      </w:r>
      <w:r w:rsidRPr="001E3643">
        <w:rPr>
          <w:sz w:val="22"/>
          <w:szCs w:val="22"/>
        </w:rPr>
        <w:t xml:space="preserve"> </w:t>
      </w:r>
      <w:r w:rsidRPr="002F0424">
        <w:rPr>
          <w:sz w:val="22"/>
          <w:szCs w:val="22"/>
        </w:rPr>
        <w:t>условия, которые обусловливают приобретение одних товаров (работ, услуг) обязательным приобретением иных товаров (работ, услуг), в том числе предусматривают обязательное заключение иных договоров, если иное не предусмотрено законом, являются недопустимыми.</w:t>
      </w:r>
    </w:p>
    <w:p w:rsidR="002F0424" w:rsidRPr="002F0424" w:rsidRDefault="002F0424" w:rsidP="002F0424">
      <w:pPr>
        <w:shd w:val="clear" w:color="auto" w:fill="FFFFFF"/>
        <w:ind w:firstLine="540"/>
        <w:jc w:val="both"/>
        <w:rPr>
          <w:rFonts w:ascii="Verdana" w:hAnsi="Verdana"/>
          <w:sz w:val="22"/>
          <w:szCs w:val="22"/>
        </w:rPr>
      </w:pPr>
      <w:r w:rsidRPr="002F0424">
        <w:rPr>
          <w:sz w:val="22"/>
          <w:szCs w:val="22"/>
        </w:rPr>
        <w:t>Следовательно,</w:t>
      </w:r>
      <w:r w:rsidRPr="001E3643">
        <w:rPr>
          <w:sz w:val="22"/>
          <w:szCs w:val="22"/>
        </w:rPr>
        <w:t xml:space="preserve"> </w:t>
      </w:r>
      <w:r w:rsidRPr="002F0424">
        <w:rPr>
          <w:sz w:val="22"/>
          <w:szCs w:val="22"/>
        </w:rPr>
        <w:t>страхование жизни и здоровья при заключении потребительского кредитного договора является</w:t>
      </w:r>
      <w:r w:rsidR="008921F6" w:rsidRPr="001E3643">
        <w:rPr>
          <w:sz w:val="22"/>
          <w:szCs w:val="22"/>
        </w:rPr>
        <w:t xml:space="preserve"> </w:t>
      </w:r>
      <w:r w:rsidRPr="002F0424">
        <w:rPr>
          <w:bCs/>
          <w:iCs/>
          <w:sz w:val="22"/>
          <w:szCs w:val="22"/>
        </w:rPr>
        <w:t>правом, а не обязанностью</w:t>
      </w:r>
      <w:r w:rsidRPr="001E3643">
        <w:rPr>
          <w:sz w:val="22"/>
          <w:szCs w:val="22"/>
        </w:rPr>
        <w:t xml:space="preserve"> </w:t>
      </w:r>
      <w:r w:rsidRPr="002F0424">
        <w:rPr>
          <w:sz w:val="22"/>
          <w:szCs w:val="22"/>
        </w:rPr>
        <w:t>потребителя, поскольку страхование является самостоятельной услугой по отношению к кредитованию.</w:t>
      </w:r>
    </w:p>
    <w:p w:rsidR="002F0424" w:rsidRPr="002F0424" w:rsidRDefault="002F0424" w:rsidP="002F0424">
      <w:pPr>
        <w:shd w:val="clear" w:color="auto" w:fill="FFFFFF"/>
        <w:ind w:firstLine="540"/>
        <w:jc w:val="both"/>
        <w:rPr>
          <w:rFonts w:ascii="Verdana" w:hAnsi="Verdana"/>
          <w:sz w:val="22"/>
          <w:szCs w:val="22"/>
        </w:rPr>
      </w:pPr>
      <w:r w:rsidRPr="002F0424">
        <w:rPr>
          <w:sz w:val="22"/>
          <w:szCs w:val="22"/>
        </w:rPr>
        <w:t>Согласно п. 2 ст. 935 Гражданского кодекса РФ,</w:t>
      </w:r>
      <w:r w:rsidRPr="001E3643">
        <w:rPr>
          <w:sz w:val="22"/>
          <w:szCs w:val="22"/>
        </w:rPr>
        <w:t xml:space="preserve"> </w:t>
      </w:r>
      <w:r w:rsidRPr="002F0424">
        <w:rPr>
          <w:sz w:val="22"/>
          <w:szCs w:val="22"/>
        </w:rPr>
        <w:t>обязанность страховать свою жизнь или здоровье не может быть возложена на гражданина по закону,</w:t>
      </w:r>
      <w:r w:rsidRPr="001E3643">
        <w:rPr>
          <w:sz w:val="22"/>
          <w:szCs w:val="22"/>
        </w:rPr>
        <w:t xml:space="preserve"> </w:t>
      </w:r>
      <w:r w:rsidRPr="002F0424">
        <w:rPr>
          <w:sz w:val="22"/>
          <w:szCs w:val="22"/>
        </w:rPr>
        <w:t>это означает, что заемщик имеет полное право отказаться от страховки, если он не хочет ее приобретать.</w:t>
      </w:r>
    </w:p>
    <w:p w:rsidR="002F0424" w:rsidRPr="002F0424" w:rsidRDefault="002F0424" w:rsidP="002F0424">
      <w:pPr>
        <w:shd w:val="clear" w:color="auto" w:fill="FFFFFF"/>
        <w:ind w:firstLine="540"/>
        <w:jc w:val="both"/>
        <w:rPr>
          <w:sz w:val="22"/>
          <w:szCs w:val="22"/>
        </w:rPr>
      </w:pPr>
      <w:proofErr w:type="gramStart"/>
      <w:r w:rsidRPr="002F0424">
        <w:rPr>
          <w:sz w:val="22"/>
          <w:szCs w:val="22"/>
        </w:rPr>
        <w:t>В соответствии с п.2 ст.7 Федерального закона от 21.12.2013 № 353-ФЗ</w:t>
      </w:r>
      <w:r w:rsidRPr="001E3643">
        <w:rPr>
          <w:sz w:val="22"/>
          <w:szCs w:val="22"/>
        </w:rPr>
        <w:t xml:space="preserve"> </w:t>
      </w:r>
      <w:r w:rsidRPr="002F0424">
        <w:rPr>
          <w:sz w:val="22"/>
          <w:szCs w:val="22"/>
        </w:rPr>
        <w:t xml:space="preserve">«О потребительском кредите (займе)», если </w:t>
      </w:r>
      <w:r w:rsidR="00D53CFA" w:rsidRPr="001E3643">
        <w:rPr>
          <w:sz w:val="22"/>
          <w:szCs w:val="22"/>
        </w:rPr>
        <w:t>при предоставлении потребительского кредита (займа) заемщику за отдельную плату предлагаются дополнительные услуги, оказываемые кредитором и (или) третьими лицами, включая страхование жизни и (или) здоровья заемщика в пользу кредитора, а также иного страхового интереса заемщика, должно быть оформлено заявление о предоставлении потребительского кредита (займа</w:t>
      </w:r>
      <w:proofErr w:type="gramEnd"/>
      <w:r w:rsidR="00D53CFA" w:rsidRPr="001E3643">
        <w:rPr>
          <w:sz w:val="22"/>
          <w:szCs w:val="22"/>
        </w:rPr>
        <w:t xml:space="preserve">) по установленной кредитором форме, содержащее согласие заемщика на оказание ему таких услуг, в том числе на заключение иных договоров, которые заемщик обязан заключить в связи с договором потребительского кредита (займа). </w:t>
      </w:r>
      <w:proofErr w:type="gramStart"/>
      <w:r w:rsidR="00D53CFA" w:rsidRPr="001E3643">
        <w:rPr>
          <w:sz w:val="22"/>
          <w:szCs w:val="22"/>
        </w:rPr>
        <w:t>Кредитор в таком заявлении о предоставлении потребительского кредита (займа) обязан указать стоимость предлагаемой за отдельную плату дополнительной услуги кредитора и должен обеспечить возможность заемщику согласиться или отказаться от оказания ему за отдельную плату такой дополнительной услуги, в том числе посредством заключения иных договоров, которые заемщик обязан заключить в связи с договором потребительского кредита (займа).</w:t>
      </w:r>
      <w:proofErr w:type="gramEnd"/>
      <w:r w:rsidR="00D53CFA" w:rsidRPr="001E3643">
        <w:rPr>
          <w:sz w:val="22"/>
          <w:szCs w:val="22"/>
        </w:rPr>
        <w:t xml:space="preserve"> Проставление кредитором отметок о согласии заемщика на оказание ему дополнительных услуг не допускается</w:t>
      </w:r>
      <w:r w:rsidRPr="002F0424">
        <w:rPr>
          <w:sz w:val="22"/>
          <w:szCs w:val="22"/>
        </w:rPr>
        <w:t>.</w:t>
      </w:r>
    </w:p>
    <w:p w:rsidR="002F0424" w:rsidRPr="002F0424" w:rsidRDefault="002F0424" w:rsidP="002F0424">
      <w:pPr>
        <w:shd w:val="clear" w:color="auto" w:fill="FFFFFF"/>
        <w:ind w:firstLine="540"/>
        <w:jc w:val="both"/>
        <w:rPr>
          <w:rFonts w:ascii="Verdana" w:hAnsi="Verdana"/>
          <w:sz w:val="22"/>
          <w:szCs w:val="22"/>
        </w:rPr>
      </w:pPr>
      <w:r w:rsidRPr="002F0424">
        <w:rPr>
          <w:sz w:val="22"/>
          <w:szCs w:val="22"/>
        </w:rPr>
        <w:t>Если потребитель все же заключил договор страхования, то расторгнуть его, возможно в «период охлаждения».</w:t>
      </w:r>
    </w:p>
    <w:p w:rsidR="002F0424" w:rsidRPr="002F0424" w:rsidRDefault="002F0424" w:rsidP="002F0424">
      <w:pPr>
        <w:shd w:val="clear" w:color="auto" w:fill="FFFFFF"/>
        <w:ind w:firstLine="540"/>
        <w:jc w:val="both"/>
        <w:rPr>
          <w:rFonts w:ascii="Verdana" w:hAnsi="Verdana"/>
          <w:sz w:val="22"/>
          <w:szCs w:val="22"/>
        </w:rPr>
      </w:pPr>
      <w:r w:rsidRPr="002F0424">
        <w:rPr>
          <w:sz w:val="22"/>
          <w:szCs w:val="22"/>
        </w:rPr>
        <w:t xml:space="preserve">По договору личного страхования, заключенному в целях обеспечения исполнения его обязательств по договору потребительского кредита (займа), потребитель вправе обратиться в период "охлаждения" с заявлением об исключении его из числа застрахованных лиц по такому договору. В этом случае ему должны вернуть денежные средства, уплаченные им за оказание соответствующей дополнительной услуги (включая страховую премию) при отсутствии событий, имеющих признаки страхового случая. </w:t>
      </w:r>
      <w:proofErr w:type="gramStart"/>
      <w:r w:rsidRPr="002F0424">
        <w:rPr>
          <w:sz w:val="22"/>
          <w:szCs w:val="22"/>
        </w:rPr>
        <w:t>Периодом "охлаждения" считаются 14 календарных дней со дня выражения заемщиком согласия на оказание ему дополнительных услуг (ч. 2.1, 2.5, 2.6</w:t>
      </w:r>
      <w:r w:rsidRPr="001E3643">
        <w:rPr>
          <w:sz w:val="22"/>
          <w:szCs w:val="22"/>
        </w:rPr>
        <w:t xml:space="preserve"> </w:t>
      </w:r>
      <w:r w:rsidRPr="002F0424">
        <w:rPr>
          <w:sz w:val="22"/>
          <w:szCs w:val="22"/>
        </w:rPr>
        <w:t>ст. 7 Федерального закона от 21.12.2013 № 353-ФЗ</w:t>
      </w:r>
      <w:r w:rsidRPr="001E3643">
        <w:rPr>
          <w:sz w:val="22"/>
          <w:szCs w:val="22"/>
        </w:rPr>
        <w:t xml:space="preserve"> </w:t>
      </w:r>
      <w:r w:rsidRPr="002F0424">
        <w:rPr>
          <w:sz w:val="22"/>
          <w:szCs w:val="22"/>
        </w:rPr>
        <w:t>«О потребительском кредите (займе)».</w:t>
      </w:r>
      <w:proofErr w:type="gramEnd"/>
    </w:p>
    <w:p w:rsidR="00CC7FA4" w:rsidRPr="001E3643" w:rsidRDefault="00DB21F7" w:rsidP="00C46CC8">
      <w:pPr>
        <w:ind w:firstLine="709"/>
        <w:jc w:val="both"/>
        <w:rPr>
          <w:sz w:val="22"/>
          <w:szCs w:val="22"/>
        </w:rPr>
      </w:pPr>
      <w:r w:rsidRPr="001E3643">
        <w:rPr>
          <w:sz w:val="22"/>
          <w:szCs w:val="22"/>
        </w:rPr>
        <w:t xml:space="preserve">Для получения консультации по вопросам защиты прав потребителей, Вы можете обратиться в консультационный пункт для потребителей </w:t>
      </w:r>
      <w:proofErr w:type="spellStart"/>
      <w:r w:rsidRPr="001E3643">
        <w:rPr>
          <w:sz w:val="22"/>
          <w:szCs w:val="22"/>
        </w:rPr>
        <w:t>Красноуфимского</w:t>
      </w:r>
      <w:proofErr w:type="spellEnd"/>
      <w:r w:rsidRPr="001E3643">
        <w:rPr>
          <w:sz w:val="22"/>
          <w:szCs w:val="22"/>
        </w:rPr>
        <w:t xml:space="preserve"> филиала ФБУЗ «Центр гигиены и эпидемиологии в Свердловской области» по адресу: Свердловская область, </w:t>
      </w:r>
      <w:proofErr w:type="spellStart"/>
      <w:r w:rsidRPr="001E3643">
        <w:rPr>
          <w:sz w:val="22"/>
          <w:szCs w:val="22"/>
        </w:rPr>
        <w:t>г</w:t>
      </w:r>
      <w:proofErr w:type="gramStart"/>
      <w:r w:rsidRPr="001E3643">
        <w:rPr>
          <w:sz w:val="22"/>
          <w:szCs w:val="22"/>
        </w:rPr>
        <w:t>.К</w:t>
      </w:r>
      <w:proofErr w:type="gramEnd"/>
      <w:r w:rsidRPr="001E3643">
        <w:rPr>
          <w:sz w:val="22"/>
          <w:szCs w:val="22"/>
        </w:rPr>
        <w:t>расноуфимск</w:t>
      </w:r>
      <w:proofErr w:type="spellEnd"/>
      <w:r w:rsidRPr="001E3643">
        <w:rPr>
          <w:sz w:val="22"/>
          <w:szCs w:val="22"/>
        </w:rPr>
        <w:t xml:space="preserve">, ул. Советская, д.13, </w:t>
      </w:r>
      <w:proofErr w:type="spellStart"/>
      <w:r w:rsidRPr="001E3643">
        <w:rPr>
          <w:sz w:val="22"/>
          <w:szCs w:val="22"/>
        </w:rPr>
        <w:t>каб</w:t>
      </w:r>
      <w:proofErr w:type="spellEnd"/>
      <w:r w:rsidRPr="001E3643">
        <w:rPr>
          <w:sz w:val="22"/>
          <w:szCs w:val="22"/>
        </w:rPr>
        <w:t>. 14, или по телефону 89024474205.</w:t>
      </w:r>
      <w:bookmarkEnd w:id="0"/>
    </w:p>
    <w:sectPr w:rsidR="00CC7FA4" w:rsidRPr="001E3643" w:rsidSect="0082221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40CB"/>
    <w:multiLevelType w:val="multilevel"/>
    <w:tmpl w:val="DC2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9C"/>
    <w:rsid w:val="0011682B"/>
    <w:rsid w:val="001E3643"/>
    <w:rsid w:val="00234411"/>
    <w:rsid w:val="002A2891"/>
    <w:rsid w:val="002F0424"/>
    <w:rsid w:val="005338E4"/>
    <w:rsid w:val="00822210"/>
    <w:rsid w:val="008921F6"/>
    <w:rsid w:val="00942136"/>
    <w:rsid w:val="00B741C0"/>
    <w:rsid w:val="00C46CC8"/>
    <w:rsid w:val="00D53CFA"/>
    <w:rsid w:val="00D805B9"/>
    <w:rsid w:val="00DA423B"/>
    <w:rsid w:val="00DB21F7"/>
    <w:rsid w:val="00E32AE2"/>
    <w:rsid w:val="00F07CE5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Светлана Сергеевна</dc:creator>
  <cp:lastModifiedBy>Анна Николаевна</cp:lastModifiedBy>
  <cp:revision>2</cp:revision>
  <cp:lastPrinted>2023-09-29T06:13:00Z</cp:lastPrinted>
  <dcterms:created xsi:type="dcterms:W3CDTF">2023-12-06T10:41:00Z</dcterms:created>
  <dcterms:modified xsi:type="dcterms:W3CDTF">2023-12-06T10:41:00Z</dcterms:modified>
</cp:coreProperties>
</file>